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a3"/>
        <w:spacing w:before="0" w:beforeAutospacing="0" w:after="0" w:afterAutospacing="0" w:line="276" w:lineRule="auto"/>
        <w:ind w:left="6521"/>
        <w:rPr>
          <w:b/>
          <w:sz w:val="22"/>
          <w:lang w:val="uk-UA"/>
        </w:rPr>
      </w:pPr>
      <w:r>
        <w:rPr>
          <w:b/>
          <w:sz w:val="22"/>
          <w:lang w:val="uk-UA"/>
        </w:rPr>
        <w:t>Додаток 1</w:t>
      </w:r>
      <w:r>
        <w:rPr>
          <w:b/>
          <w:sz w:val="22"/>
          <w:lang w:val="uk-UA"/>
        </w:rPr>
        <w:t>7</w:t>
      </w:r>
    </w:p>
    <w:p>
      <w:pPr>
        <w:pStyle w:val="a3"/>
        <w:spacing w:before="0" w:beforeAutospacing="0" w:after="240" w:afterAutospacing="0" w:line="276" w:lineRule="auto"/>
        <w:ind w:left="6521"/>
        <w:rPr>
          <w:sz w:val="22"/>
          <w:lang w:val="uk-UA"/>
        </w:rPr>
      </w:pPr>
      <w:r>
        <w:rPr>
          <w:sz w:val="22"/>
          <w:lang w:val="uk-UA"/>
        </w:rPr>
        <w:t>до Договору споживача про надання послуг</w:t>
      </w:r>
      <w:r>
        <w:rPr>
          <w:sz w:val="22"/>
          <w:lang w:val="uk-UA"/>
        </w:rPr>
        <w:t xml:space="preserve"> </w:t>
      </w:r>
      <w:r>
        <w:rPr>
          <w:sz w:val="22"/>
          <w:lang w:val="uk-UA"/>
        </w:rPr>
        <w:t xml:space="preserve">з розподілу </w:t>
      </w:r>
      <w:r>
        <w:rPr>
          <w:sz w:val="22"/>
        </w:rPr>
        <w:t>(</w:t>
      </w:r>
      <w:r>
        <w:rPr>
          <w:sz w:val="22"/>
          <w:lang w:val="uk-UA"/>
        </w:rPr>
        <w:t>передачі) електричної енергії</w:t>
      </w:r>
    </w:p>
    <w:p>
      <w:pPr>
        <w:jc w:val="center"/>
        <w:rPr>
          <w:b/>
          <w:sz w:val="22"/>
          <w:lang w:val="uk-UA"/>
        </w:rPr>
      </w:pPr>
      <w:r>
        <w:rPr>
          <w:b/>
          <w:sz w:val="22"/>
          <w:lang w:val="uk-UA"/>
        </w:rPr>
        <w:t>Порядок розрахунку та складання балансу електричної енергії в технологічних електричних мережах Споживача (основного споживача)</w:t>
      </w:r>
    </w:p>
    <w:p>
      <w:pPr>
        <w:jc w:val="center"/>
        <w:rPr>
          <w:b/>
          <w:lang w:val="uk-UA"/>
        </w:rPr>
      </w:pPr>
    </w:p>
    <w:p>
      <w:pPr>
        <w:spacing w:line="276" w:lineRule="auto"/>
        <w:ind w:firstLine="567"/>
        <w:jc w:val="both"/>
        <w:rPr>
          <w:sz w:val="22"/>
          <w:lang w:val="uk-UA"/>
        </w:rPr>
      </w:pPr>
      <w:r>
        <w:rPr>
          <w:sz w:val="22"/>
          <w:lang w:val="uk-UA"/>
        </w:rPr>
        <w:t>Споживач електричної енергії зобов</w:t>
      </w:r>
      <w:r>
        <w:rPr>
          <w:sz w:val="22"/>
          <w:lang w:val="uk-UA"/>
        </w:rPr>
        <w:t>’</w:t>
      </w:r>
      <w:r>
        <w:rPr>
          <w:sz w:val="22"/>
          <w:lang w:val="uk-UA"/>
        </w:rPr>
        <w:t xml:space="preserve">язаний у разі передачі електричної енергії в електричні мережі інших </w:t>
      </w:r>
      <w:r>
        <w:rPr>
          <w:sz w:val="22"/>
          <w:lang w:val="uk-UA"/>
        </w:rPr>
        <w:t>Учасників РРЕЕ</w:t>
      </w:r>
      <w:r>
        <w:rPr>
          <w:sz w:val="22"/>
          <w:lang w:val="uk-UA"/>
        </w:rPr>
        <w:t xml:space="preserve"> забезпечити склад</w:t>
      </w:r>
      <w:r>
        <w:rPr>
          <w:sz w:val="22"/>
          <w:lang w:val="uk-UA"/>
        </w:rPr>
        <w:t>е</w:t>
      </w:r>
      <w:r>
        <w:rPr>
          <w:sz w:val="22"/>
          <w:lang w:val="uk-UA"/>
        </w:rPr>
        <w:t>ння балансу електричної енергії у власних технологічних електричних мережах для проведення комерційних розрахунків.</w:t>
      </w:r>
    </w:p>
    <w:p>
      <w:pPr>
        <w:pStyle w:val="a3"/>
        <w:spacing w:before="0" w:beforeAutospacing="0" w:after="0" w:afterAutospacing="0" w:line="276" w:lineRule="auto"/>
        <w:ind w:firstLine="567"/>
        <w:jc w:val="both"/>
        <w:rPr>
          <w:sz w:val="22"/>
          <w:lang w:val="uk-UA"/>
        </w:rPr>
      </w:pPr>
      <w:r>
        <w:rPr>
          <w:sz w:val="22"/>
          <w:lang w:val="uk-UA"/>
        </w:rPr>
        <w:t xml:space="preserve">Обсяг електричної енергії, спожитої </w:t>
      </w:r>
      <w:r>
        <w:rPr>
          <w:sz w:val="22"/>
          <w:lang w:val="uk-UA"/>
        </w:rPr>
        <w:t>Споживачем (</w:t>
      </w:r>
      <w:r>
        <w:rPr>
          <w:sz w:val="22"/>
          <w:lang w:val="uk-UA"/>
        </w:rPr>
        <w:t>основним споживачем</w:t>
      </w:r>
      <w:r>
        <w:rPr>
          <w:sz w:val="22"/>
          <w:lang w:val="uk-UA"/>
        </w:rPr>
        <w:t>)</w:t>
      </w:r>
      <w:r>
        <w:rPr>
          <w:sz w:val="22"/>
          <w:lang w:val="uk-UA"/>
        </w:rPr>
        <w:t xml:space="preserve"> та </w:t>
      </w:r>
      <w:r>
        <w:rPr>
          <w:sz w:val="22"/>
          <w:lang w:val="uk-UA"/>
        </w:rPr>
        <w:t>іншими Учасниками РРЕЕ</w:t>
      </w:r>
      <w:r>
        <w:rPr>
          <w:sz w:val="22"/>
          <w:lang w:val="uk-UA"/>
        </w:rPr>
        <w:t>, визначається залежно від порядку (схеми) приєднання вузлів вимірювання з урахуванням втрат електричної енергії, пов</w:t>
      </w:r>
      <w:r>
        <w:rPr>
          <w:sz w:val="22"/>
          <w:lang w:val="uk-UA"/>
        </w:rPr>
        <w:t>’</w:t>
      </w:r>
      <w:r>
        <w:rPr>
          <w:sz w:val="22"/>
          <w:lang w:val="uk-UA"/>
        </w:rPr>
        <w:t xml:space="preserve">язаних із спільним використанням технологічних електричних мереж </w:t>
      </w:r>
      <w:r>
        <w:rPr>
          <w:sz w:val="22"/>
          <w:lang w:val="uk-UA"/>
        </w:rPr>
        <w:t>Споживача (</w:t>
      </w:r>
      <w:r>
        <w:rPr>
          <w:sz w:val="22"/>
          <w:lang w:val="uk-UA"/>
        </w:rPr>
        <w:t>основного споживача</w:t>
      </w:r>
      <w:r>
        <w:rPr>
          <w:sz w:val="22"/>
          <w:lang w:val="uk-UA"/>
        </w:rPr>
        <w:t>)</w:t>
      </w:r>
      <w:r>
        <w:rPr>
          <w:sz w:val="22"/>
          <w:lang w:val="uk-UA"/>
        </w:rPr>
        <w:t>.</w:t>
      </w:r>
    </w:p>
    <w:p>
      <w:pPr>
        <w:pStyle w:val="a3"/>
        <w:spacing w:before="0" w:beforeAutospacing="0" w:after="0" w:afterAutospacing="0" w:line="276" w:lineRule="auto"/>
        <w:ind w:firstLine="567"/>
        <w:jc w:val="both"/>
        <w:rPr>
          <w:sz w:val="22"/>
          <w:lang w:val="uk-UA"/>
        </w:rPr>
      </w:pPr>
      <w:r>
        <w:rPr>
          <w:sz w:val="22"/>
          <w:lang w:val="uk-UA"/>
        </w:rPr>
        <w:t xml:space="preserve">У разі паралельного приєднання </w:t>
      </w:r>
      <w:r>
        <w:rPr>
          <w:sz w:val="22"/>
          <w:lang w:val="uk-UA"/>
        </w:rPr>
        <w:t>засобів обліку</w:t>
      </w:r>
      <w:r>
        <w:rPr>
          <w:sz w:val="22"/>
          <w:lang w:val="uk-UA"/>
        </w:rPr>
        <w:t xml:space="preserve"> електричної енергії Споживача та інших Учасників РРЕЕ, якщо точка розподілу електричної енергії Учасників РРЕЕ встановлена на межі балансової належності суміжних електроустановок, які належать за ознакою права власності Споживачу (основному споживачу) та Учасникам РРЕЕ:</w:t>
      </w:r>
    </w:p>
    <w:p>
      <w:pPr>
        <w:pStyle w:val="a3"/>
        <w:spacing w:before="0" w:beforeAutospacing="0" w:after="0" w:afterAutospacing="0" w:line="276" w:lineRule="auto"/>
        <w:ind w:firstLine="567"/>
        <w:jc w:val="both"/>
        <w:rPr>
          <w:sz w:val="22"/>
          <w:lang w:val="uk-UA"/>
        </w:rPr>
      </w:pPr>
      <w:r>
        <w:rPr>
          <w:sz w:val="22"/>
          <w:lang w:val="uk-UA"/>
        </w:rPr>
        <w:t xml:space="preserve">1) обсяг електричної енергії, спожитої Споживачем (основним споживачем), визначається за показами </w:t>
      </w:r>
      <w:r>
        <w:rPr>
          <w:sz w:val="22"/>
          <w:lang w:val="uk-UA"/>
        </w:rPr>
        <w:t>засобів обліку електричної енергії</w:t>
      </w:r>
      <w:r>
        <w:rPr>
          <w:sz w:val="22"/>
          <w:lang w:val="uk-UA"/>
        </w:rPr>
        <w:t xml:space="preserve"> Споживача (основного споживача);</w:t>
      </w:r>
    </w:p>
    <w:p>
      <w:pPr>
        <w:pStyle w:val="a3"/>
        <w:spacing w:before="0" w:beforeAutospacing="0" w:after="0" w:afterAutospacing="0" w:line="276" w:lineRule="auto"/>
        <w:ind w:firstLine="567"/>
        <w:jc w:val="both"/>
        <w:rPr>
          <w:b/>
          <w:sz w:val="20"/>
          <w:szCs w:val="22"/>
          <w:lang w:val="uk-UA"/>
        </w:rPr>
      </w:pPr>
      <w:r>
        <w:rPr>
          <w:sz w:val="22"/>
          <w:lang w:val="uk-UA"/>
        </w:rPr>
        <w:t>2) обсяг електричної енергії, спожитої іншими Учасниками РРЕЕ, визначається відповідно до показів засобів обліку електричної енергії Учасників РРЕЕ</w:t>
      </w:r>
      <w:r>
        <w:rPr>
          <w:sz w:val="22"/>
          <w:lang w:val="uk-UA"/>
        </w:rPr>
        <w:t xml:space="preserve"> (у разі встановлення розрахункових засобів обліку Учасників РРЕЕ не на межі балансової належності електричних мереж обсяги втрат електричної енергії в цих мережах додаються до (віднімаються від) обсягів, визначених за показами засобів обліку Учасників РРЕЕ)</w:t>
      </w:r>
      <w:r>
        <w:rPr>
          <w:sz w:val="22"/>
          <w:lang w:val="uk-UA"/>
        </w:rPr>
        <w:t>.</w:t>
      </w:r>
    </w:p>
    <w:p>
      <w:pPr>
        <w:pStyle w:val="a3"/>
        <w:spacing w:before="0" w:beforeAutospacing="0" w:after="0" w:afterAutospacing="0" w:line="276" w:lineRule="auto"/>
        <w:ind w:firstLine="567"/>
        <w:jc w:val="both"/>
        <w:rPr>
          <w:sz w:val="22"/>
          <w:lang w:val="uk-UA"/>
        </w:rPr>
      </w:pPr>
      <w:r>
        <w:rPr>
          <w:sz w:val="22"/>
          <w:lang w:val="uk-UA"/>
        </w:rPr>
        <w:t xml:space="preserve">У разі послідовного приєднання </w:t>
      </w:r>
      <w:r>
        <w:rPr>
          <w:sz w:val="22"/>
          <w:lang w:val="uk-UA"/>
        </w:rPr>
        <w:t>засобів обліку</w:t>
      </w:r>
      <w:r>
        <w:rPr>
          <w:sz w:val="22"/>
          <w:lang w:val="uk-UA"/>
        </w:rPr>
        <w:t xml:space="preserve"> електричної енергії </w:t>
      </w:r>
      <w:r>
        <w:rPr>
          <w:sz w:val="22"/>
          <w:lang w:val="uk-UA"/>
        </w:rPr>
        <w:t>С</w:t>
      </w:r>
      <w:r>
        <w:rPr>
          <w:sz w:val="22"/>
          <w:lang w:val="uk-UA"/>
        </w:rPr>
        <w:t xml:space="preserve">поживача та </w:t>
      </w:r>
      <w:r>
        <w:rPr>
          <w:sz w:val="22"/>
          <w:lang w:val="uk-UA"/>
        </w:rPr>
        <w:t>інших Учасників РРЕЕ</w:t>
      </w:r>
      <w:r>
        <w:rPr>
          <w:sz w:val="22"/>
          <w:lang w:val="uk-UA"/>
        </w:rPr>
        <w:t xml:space="preserve">, якщо точка розподілу електричної енергії </w:t>
      </w:r>
      <w:r>
        <w:rPr>
          <w:sz w:val="22"/>
          <w:lang w:val="uk-UA"/>
        </w:rPr>
        <w:t>інших Учасників РРЕЕ</w:t>
      </w:r>
      <w:r>
        <w:rPr>
          <w:sz w:val="22"/>
          <w:lang w:val="uk-UA"/>
        </w:rPr>
        <w:t xml:space="preserve"> встановлена на межі балансової належності суміжних електроустановок, які належать за ознакою права власності </w:t>
      </w:r>
      <w:r>
        <w:rPr>
          <w:sz w:val="22"/>
          <w:lang w:val="uk-UA"/>
        </w:rPr>
        <w:t>Споживачу (</w:t>
      </w:r>
      <w:r>
        <w:rPr>
          <w:sz w:val="22"/>
          <w:lang w:val="uk-UA"/>
        </w:rPr>
        <w:t>основному споживачу</w:t>
      </w:r>
      <w:r>
        <w:rPr>
          <w:sz w:val="22"/>
          <w:lang w:val="uk-UA"/>
        </w:rPr>
        <w:t>)</w:t>
      </w:r>
      <w:r>
        <w:rPr>
          <w:sz w:val="22"/>
          <w:lang w:val="uk-UA"/>
        </w:rPr>
        <w:t xml:space="preserve"> та </w:t>
      </w:r>
      <w:r>
        <w:rPr>
          <w:sz w:val="22"/>
          <w:lang w:val="uk-UA"/>
        </w:rPr>
        <w:t>іншим Учасникам РРЕЕ</w:t>
      </w:r>
      <w:r>
        <w:rPr>
          <w:sz w:val="22"/>
          <w:lang w:val="uk-UA"/>
        </w:rPr>
        <w:t>:</w:t>
      </w:r>
    </w:p>
    <w:p>
      <w:pPr>
        <w:pStyle w:val="a3"/>
        <w:spacing w:before="0" w:beforeAutospacing="0" w:after="0" w:afterAutospacing="0" w:line="276" w:lineRule="auto"/>
        <w:ind w:firstLine="567"/>
        <w:jc w:val="both"/>
        <w:rPr>
          <w:sz w:val="22"/>
          <w:lang w:val="uk-UA"/>
        </w:rPr>
      </w:pPr>
      <w:r>
        <w:rPr>
          <w:sz w:val="22"/>
          <w:lang w:val="uk-UA"/>
        </w:rPr>
        <w:t xml:space="preserve">1) для визначення обсягу електричної енергії, спожитої </w:t>
      </w:r>
      <w:r>
        <w:rPr>
          <w:sz w:val="22"/>
          <w:lang w:val="uk-UA"/>
        </w:rPr>
        <w:t>Споживачем (</w:t>
      </w:r>
      <w:r>
        <w:rPr>
          <w:sz w:val="22"/>
          <w:lang w:val="uk-UA"/>
        </w:rPr>
        <w:t>основним споживачем</w:t>
      </w:r>
      <w:r>
        <w:rPr>
          <w:sz w:val="22"/>
          <w:lang w:val="uk-UA"/>
        </w:rPr>
        <w:t>)</w:t>
      </w:r>
      <w:r>
        <w:rPr>
          <w:sz w:val="22"/>
          <w:lang w:val="uk-UA"/>
        </w:rPr>
        <w:t>, обсяг втрат електричної енергії, пов</w:t>
      </w:r>
      <w:r>
        <w:rPr>
          <w:sz w:val="22"/>
          <w:lang w:val="uk-UA"/>
        </w:rPr>
        <w:t>’</w:t>
      </w:r>
      <w:r>
        <w:rPr>
          <w:sz w:val="22"/>
          <w:lang w:val="uk-UA"/>
        </w:rPr>
        <w:t xml:space="preserve">язаних із спільним використанням технологічних електричних мереж </w:t>
      </w:r>
      <w:r>
        <w:rPr>
          <w:sz w:val="22"/>
          <w:lang w:val="uk-UA"/>
        </w:rPr>
        <w:t>Споживача (</w:t>
      </w:r>
      <w:r>
        <w:rPr>
          <w:sz w:val="22"/>
          <w:lang w:val="uk-UA"/>
        </w:rPr>
        <w:t>основного споживача</w:t>
      </w:r>
      <w:r>
        <w:rPr>
          <w:sz w:val="22"/>
          <w:lang w:val="uk-UA"/>
        </w:rPr>
        <w:t>)</w:t>
      </w:r>
      <w:r>
        <w:rPr>
          <w:sz w:val="22"/>
          <w:lang w:val="uk-UA"/>
        </w:rPr>
        <w:t xml:space="preserve">, віднімається від різниці між обсягом електричної енергії, що надійшла в електричні мережі </w:t>
      </w:r>
      <w:r>
        <w:rPr>
          <w:sz w:val="22"/>
          <w:lang w:val="uk-UA"/>
        </w:rPr>
        <w:t>Споживача (</w:t>
      </w:r>
      <w:r>
        <w:rPr>
          <w:sz w:val="22"/>
          <w:lang w:val="uk-UA"/>
        </w:rPr>
        <w:t>основного споживача</w:t>
      </w:r>
      <w:r>
        <w:rPr>
          <w:sz w:val="22"/>
          <w:lang w:val="uk-UA"/>
        </w:rPr>
        <w:t>)</w:t>
      </w:r>
      <w:r>
        <w:rPr>
          <w:sz w:val="22"/>
          <w:lang w:val="uk-UA"/>
        </w:rPr>
        <w:t xml:space="preserve">, та обсягом електричної енергії, відданої в електричні мережі </w:t>
      </w:r>
      <w:r>
        <w:rPr>
          <w:sz w:val="22"/>
          <w:lang w:val="uk-UA"/>
        </w:rPr>
        <w:t>інших Учасників РРЕЕ</w:t>
      </w:r>
      <w:r>
        <w:rPr>
          <w:sz w:val="22"/>
          <w:lang w:val="uk-UA"/>
        </w:rPr>
        <w:t>;</w:t>
      </w:r>
    </w:p>
    <w:p>
      <w:pPr>
        <w:pStyle w:val="a3"/>
        <w:spacing w:before="0" w:beforeAutospacing="0" w:after="0" w:afterAutospacing="0" w:line="276" w:lineRule="auto"/>
        <w:ind w:firstLine="567"/>
        <w:jc w:val="both"/>
        <w:rPr>
          <w:sz w:val="22"/>
          <w:lang w:val="uk-UA"/>
        </w:rPr>
      </w:pPr>
      <w:r>
        <w:rPr>
          <w:sz w:val="22"/>
          <w:lang w:val="uk-UA"/>
        </w:rPr>
        <w:t xml:space="preserve">2) обсяг електричної енергії, спожитої </w:t>
      </w:r>
      <w:r>
        <w:rPr>
          <w:sz w:val="22"/>
          <w:lang w:val="uk-UA"/>
        </w:rPr>
        <w:t>іншими Учасниками РРЕЕ</w:t>
      </w:r>
      <w:r>
        <w:rPr>
          <w:sz w:val="22"/>
          <w:lang w:val="uk-UA"/>
        </w:rPr>
        <w:t xml:space="preserve"> визначається відповідно до показів </w:t>
      </w:r>
      <w:r>
        <w:rPr>
          <w:sz w:val="22"/>
          <w:lang w:val="uk-UA"/>
        </w:rPr>
        <w:t xml:space="preserve">засобів обліку електричної енергії </w:t>
      </w:r>
      <w:r>
        <w:rPr>
          <w:sz w:val="22"/>
          <w:lang w:val="uk-UA"/>
        </w:rPr>
        <w:t xml:space="preserve"> </w:t>
      </w:r>
      <w:r>
        <w:rPr>
          <w:sz w:val="22"/>
          <w:lang w:val="uk-UA"/>
        </w:rPr>
        <w:t>Учасників РРЕЕ</w:t>
      </w:r>
      <w:r>
        <w:rPr>
          <w:sz w:val="22"/>
          <w:lang w:val="uk-UA"/>
        </w:rPr>
        <w:t xml:space="preserve"> (у разі встановлення розрахункових засобів обліку Учасників РРЕЕ не на межі балансової належності електричних мереж</w:t>
      </w:r>
      <w:r>
        <w:rPr>
          <w:sz w:val="22"/>
          <w:lang w:val="uk-UA"/>
        </w:rPr>
        <w:t>,</w:t>
      </w:r>
      <w:r>
        <w:rPr>
          <w:sz w:val="22"/>
          <w:lang w:val="uk-UA"/>
        </w:rPr>
        <w:t xml:space="preserve"> обсяги втрат електричної енергії в цих мережах додаються до (віднімаються від) обсягів, визначених за показами засобів обліку Учасників РРЕЕ)</w:t>
      </w:r>
      <w:r>
        <w:rPr>
          <w:sz w:val="22"/>
          <w:lang w:val="uk-UA"/>
        </w:rPr>
        <w:t>.</w:t>
      </w:r>
    </w:p>
    <w:p>
      <w:pPr>
        <w:spacing w:line="276" w:lineRule="auto"/>
        <w:ind w:firstLine="567"/>
        <w:jc w:val="both"/>
        <w:rPr>
          <w:sz w:val="22"/>
          <w:lang w:val="uk-UA"/>
        </w:rPr>
      </w:pPr>
      <w:r>
        <w:rPr>
          <w:sz w:val="22"/>
          <w:lang w:val="uk-UA"/>
        </w:rPr>
        <w:t xml:space="preserve">Розрахунок втрат електричної енергії, пов’язаних з транспортуванням електричної енергії мережами Споживача (основного споживача) в мережі інших Учасників РРЕЕ здійснюється у порядку та на підставі даних, наведених у додатках </w:t>
      </w:r>
      <w:r>
        <w:rPr>
          <w:sz w:val="22"/>
        </w:rPr>
        <w:t>8</w:t>
      </w:r>
      <w:r>
        <w:rPr>
          <w:sz w:val="22"/>
          <w:lang w:val="uk-UA"/>
        </w:rPr>
        <w:t>, 1</w:t>
      </w:r>
      <w:r>
        <w:rPr>
          <w:sz w:val="22"/>
          <w:lang w:val="uk-UA"/>
        </w:rPr>
        <w:t>3</w:t>
      </w:r>
      <w:r>
        <w:rPr>
          <w:sz w:val="22"/>
          <w:lang w:val="uk-UA"/>
        </w:rPr>
        <w:t xml:space="preserve"> та 1</w:t>
      </w:r>
      <w:r>
        <w:rPr>
          <w:sz w:val="22"/>
          <w:lang w:val="uk-UA"/>
        </w:rPr>
        <w:t>6</w:t>
      </w:r>
      <w:r>
        <w:rPr>
          <w:sz w:val="22"/>
          <w:lang w:val="uk-UA"/>
        </w:rPr>
        <w:t xml:space="preserve"> до Договору.</w:t>
      </w:r>
    </w:p>
    <w:p>
      <w:pPr>
        <w:spacing w:line="276" w:lineRule="auto"/>
        <w:ind w:firstLine="567"/>
        <w:jc w:val="both"/>
        <w:rPr>
          <w:sz w:val="22"/>
          <w:lang w:val="uk-UA"/>
        </w:rPr>
      </w:pPr>
    </w:p>
    <w:p>
      <w:pPr>
        <w:spacing w:line="276" w:lineRule="auto"/>
        <w:ind w:left="142"/>
        <w:jc w:val="both"/>
        <w:rPr>
          <w:sz w:val="21"/>
          <w:szCs w:val="21"/>
          <w:lang w:val="uk-UA"/>
        </w:rPr>
      </w:pPr>
      <w:r>
        <w:rPr>
          <w:sz w:val="21"/>
          <w:szCs w:val="21"/>
          <w:lang w:val="uk-UA"/>
        </w:rPr>
        <w:t>АКЦІОНЕРНЕ ТОВАРИСТВО «ДТЕК ДНІПРОВСЬКІ ЕЛЕКТРОМЕРЕЖІ»</w:t>
      </w:r>
    </w:p>
    <w:p>
      <w:pPr>
        <w:spacing w:line="276" w:lineRule="auto"/>
        <w:ind w:left="142"/>
        <w:jc w:val="both"/>
        <w:rPr>
          <w:sz w:val="21"/>
          <w:szCs w:val="21"/>
          <w:lang w:val="uk-UA"/>
        </w:rPr>
      </w:pPr>
      <w:r>
        <w:rPr>
          <w:sz w:val="21"/>
          <w:szCs w:val="21"/>
          <w:lang w:val="uk-UA"/>
        </w:rPr>
        <w:t>Енергетичний ідентифікаційний код (ЕІС код) № 62X4635461205007</w:t>
      </w:r>
    </w:p>
    <w:p>
      <w:pPr>
        <w:spacing w:line="276" w:lineRule="auto"/>
        <w:ind w:left="142"/>
        <w:jc w:val="both"/>
        <w:rPr>
          <w:sz w:val="21"/>
          <w:szCs w:val="21"/>
          <w:lang w:val="uk-UA"/>
        </w:rPr>
      </w:pPr>
      <w:r>
        <w:rPr>
          <w:sz w:val="21"/>
          <w:szCs w:val="21"/>
          <w:lang w:val="uk-UA"/>
        </w:rPr>
        <w:t>Адреса: 49107, м Дніпро, шосе Запорізьке, 22.</w:t>
      </w:r>
    </w:p>
    <w:p>
      <w:pPr>
        <w:spacing w:line="276" w:lineRule="auto"/>
        <w:ind w:left="142"/>
        <w:jc w:val="both"/>
        <w:rPr>
          <w:sz w:val="21"/>
          <w:szCs w:val="21"/>
          <w:lang w:val="uk-UA"/>
        </w:rPr>
      </w:pPr>
      <w:r>
        <w:rPr>
          <w:sz w:val="21"/>
          <w:szCs w:val="21"/>
          <w:lang w:val="uk-UA"/>
        </w:rPr>
        <w:t xml:space="preserve">Номер поточного рахунка:  </w:t>
      </w:r>
    </w:p>
    <w:p>
      <w:pPr>
        <w:spacing w:line="276" w:lineRule="auto"/>
        <w:ind w:left="142"/>
        <w:jc w:val="both"/>
        <w:rPr>
          <w:sz w:val="21"/>
          <w:szCs w:val="21"/>
          <w:lang w:val="uk-UA"/>
        </w:rPr>
      </w:pPr>
      <w:r>
        <w:rPr>
          <w:sz w:val="21"/>
          <w:szCs w:val="21"/>
          <w:lang w:val="uk-UA"/>
        </w:rPr>
        <w:t xml:space="preserve">П/р №  26004301790066 в  філії - Дніпропетровське ОУ АТ «Ощадбанк», МФО 305482.  </w:t>
      </w:r>
    </w:p>
    <w:p>
      <w:pPr>
        <w:spacing w:line="276" w:lineRule="auto"/>
        <w:ind w:left="142"/>
        <w:jc w:val="both"/>
        <w:rPr>
          <w:sz w:val="21"/>
          <w:szCs w:val="21"/>
          <w:lang w:val="uk-UA"/>
        </w:rPr>
      </w:pPr>
      <w:r>
        <w:rPr>
          <w:sz w:val="21"/>
          <w:szCs w:val="21"/>
          <w:lang w:val="uk-UA"/>
        </w:rPr>
        <w:t>Номер поточного рахунка для оплати за послуги з розподілу електричної енергії: № UA533054820000026004301790066 в  філії - Дніпропетровське ОУ АТ «Ощадбанк», МФО 305482</w:t>
      </w:r>
    </w:p>
    <w:p>
      <w:pPr>
        <w:spacing w:line="276" w:lineRule="auto"/>
        <w:ind w:left="142"/>
        <w:jc w:val="both"/>
        <w:rPr>
          <w:sz w:val="21"/>
          <w:szCs w:val="21"/>
          <w:lang w:val="uk-UA"/>
        </w:rPr>
      </w:pPr>
      <w:r>
        <w:rPr>
          <w:sz w:val="21"/>
          <w:szCs w:val="21"/>
          <w:lang w:val="uk-UA"/>
        </w:rPr>
        <w:t xml:space="preserve">ЄДРПОУ 23359034.    </w:t>
      </w:r>
    </w:p>
    <w:p>
      <w:pPr>
        <w:spacing w:line="276" w:lineRule="auto"/>
        <w:ind w:left="142"/>
        <w:jc w:val="both"/>
        <w:rPr>
          <w:sz w:val="21"/>
          <w:szCs w:val="21"/>
          <w:lang w:val="uk-UA"/>
        </w:rPr>
      </w:pPr>
      <w:r>
        <w:rPr>
          <w:sz w:val="21"/>
          <w:szCs w:val="21"/>
          <w:lang w:val="uk-UA"/>
        </w:rPr>
        <w:t>ІПН  233590304026.</w:t>
      </w:r>
    </w:p>
    <w:p>
      <w:pPr>
        <w:spacing w:line="276" w:lineRule="auto"/>
        <w:ind w:left="142"/>
        <w:jc w:val="both"/>
        <w:rPr>
          <w:sz w:val="21"/>
          <w:szCs w:val="21"/>
          <w:lang w:val="uk-UA"/>
        </w:rPr>
      </w:pPr>
      <w:r>
        <w:rPr>
          <w:sz w:val="21"/>
          <w:szCs w:val="21"/>
          <w:lang w:val="uk-UA"/>
        </w:rPr>
        <w:t>Телефон Контакт-центру (056) 790-99-00, (</w:t>
      </w:r>
      <w:r>
        <w:rPr>
          <w:sz w:val="21"/>
          <w:szCs w:val="21"/>
          <w:lang w:val="uk-UA"/>
        </w:rPr>
        <w:t>066) 790-99-00, (067) 790-99-00</w:t>
      </w:r>
    </w:p>
    <w:p>
      <w:pPr>
        <w:spacing w:line="276" w:lineRule="auto"/>
        <w:ind w:left="142"/>
        <w:jc w:val="both"/>
        <w:rPr>
          <w:sz w:val="21"/>
          <w:szCs w:val="21"/>
          <w:lang w:val="uk-UA"/>
        </w:rPr>
      </w:pPr>
      <w:proofErr w:type="spellStart"/>
      <w:r>
        <w:rPr>
          <w:sz w:val="21"/>
          <w:szCs w:val="21"/>
          <w:lang w:val="uk-UA"/>
        </w:rPr>
        <w:t>Web-cайт</w:t>
      </w:r>
      <w:proofErr w:type="spellEnd"/>
      <w:r>
        <w:rPr>
          <w:sz w:val="21"/>
          <w:szCs w:val="21"/>
          <w:lang w:val="uk-UA"/>
        </w:rPr>
        <w:t>: https://dtek-dnem.com.ua</w:t>
      </w:r>
      <w:bookmarkStart w:id="0" w:name="_GoBack"/>
      <w:bookmarkEnd w:id="0"/>
    </w:p>
    <w:sectPr>
      <w:pgSz w:w="11906" w:h="16838"/>
      <w:pgMar w:top="568"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022FA"/>
    <w:multiLevelType w:val="hybridMultilevel"/>
    <w:tmpl w:val="2FC4D6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73C35896"/>
    <w:multiLevelType w:val="hybridMultilevel"/>
    <w:tmpl w:val="163C526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7C8"/>
    <w:rsid w:val="00017416"/>
    <w:rsid w:val="000361EC"/>
    <w:rsid w:val="0005084B"/>
    <w:rsid w:val="00077D7D"/>
    <w:rsid w:val="000B55AF"/>
    <w:rsid w:val="000E0196"/>
    <w:rsid w:val="001E46A7"/>
    <w:rsid w:val="001E769E"/>
    <w:rsid w:val="002274E2"/>
    <w:rsid w:val="002661CA"/>
    <w:rsid w:val="002C43C2"/>
    <w:rsid w:val="00391216"/>
    <w:rsid w:val="003C6F84"/>
    <w:rsid w:val="003E4C2A"/>
    <w:rsid w:val="003E4C61"/>
    <w:rsid w:val="00445C93"/>
    <w:rsid w:val="004674C9"/>
    <w:rsid w:val="00482512"/>
    <w:rsid w:val="00486049"/>
    <w:rsid w:val="005020C3"/>
    <w:rsid w:val="00520E52"/>
    <w:rsid w:val="00592E27"/>
    <w:rsid w:val="006046AB"/>
    <w:rsid w:val="006725F6"/>
    <w:rsid w:val="006B2A47"/>
    <w:rsid w:val="006E1883"/>
    <w:rsid w:val="00741388"/>
    <w:rsid w:val="00793C2E"/>
    <w:rsid w:val="007C0555"/>
    <w:rsid w:val="0082391A"/>
    <w:rsid w:val="00827A0E"/>
    <w:rsid w:val="0085045C"/>
    <w:rsid w:val="008E163E"/>
    <w:rsid w:val="009052AF"/>
    <w:rsid w:val="0093167E"/>
    <w:rsid w:val="00A228E3"/>
    <w:rsid w:val="00A741B9"/>
    <w:rsid w:val="00A76B81"/>
    <w:rsid w:val="00A80365"/>
    <w:rsid w:val="00AB3260"/>
    <w:rsid w:val="00AD6CB1"/>
    <w:rsid w:val="00B238AC"/>
    <w:rsid w:val="00B37162"/>
    <w:rsid w:val="00C25235"/>
    <w:rsid w:val="00C667D9"/>
    <w:rsid w:val="00C91519"/>
    <w:rsid w:val="00D71988"/>
    <w:rsid w:val="00E442D4"/>
    <w:rsid w:val="00EA1A72"/>
    <w:rsid w:val="00EA64BA"/>
    <w:rsid w:val="00ED18AC"/>
    <w:rsid w:val="00EF7083"/>
    <w:rsid w:val="00F76B2F"/>
    <w:rsid w:val="00F80524"/>
    <w:rsid w:val="00FB1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552B5A-DED1-4598-8F24-EC5AAB7F2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17C8"/>
    <w:pPr>
      <w:spacing w:before="100" w:beforeAutospacing="1" w:after="100" w:afterAutospacing="1"/>
    </w:pPr>
  </w:style>
  <w:style w:type="paragraph" w:styleId="a4">
    <w:name w:val="Balloon Text"/>
    <w:basedOn w:val="a"/>
    <w:link w:val="a5"/>
    <w:uiPriority w:val="99"/>
    <w:semiHidden/>
    <w:unhideWhenUsed/>
    <w:rsid w:val="002C43C2"/>
    <w:rPr>
      <w:rFonts w:ascii="Segoe UI" w:hAnsi="Segoe UI" w:cs="Segoe UI"/>
      <w:sz w:val="18"/>
      <w:szCs w:val="18"/>
    </w:rPr>
  </w:style>
  <w:style w:type="character" w:customStyle="1" w:styleId="a5">
    <w:name w:val="Текст выноски Знак"/>
    <w:basedOn w:val="a0"/>
    <w:link w:val="a4"/>
    <w:uiPriority w:val="99"/>
    <w:semiHidden/>
    <w:rsid w:val="002C43C2"/>
    <w:rPr>
      <w:rFonts w:ascii="Segoe UI" w:eastAsia="Times New Roman" w:hAnsi="Segoe UI" w:cs="Segoe UI"/>
      <w:sz w:val="18"/>
      <w:szCs w:val="18"/>
      <w:lang w:eastAsia="ru-RU"/>
    </w:rPr>
  </w:style>
  <w:style w:type="paragraph" w:styleId="a6">
    <w:name w:val="List Paragraph"/>
    <w:basedOn w:val="a"/>
    <w:uiPriority w:val="34"/>
    <w:qFormat/>
    <w:rsid w:val="00036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ntTable" Target="fontTable.xml" /><Relationship Id="rId7" Type="http://schemas.openxmlformats.org/officeDocument/2006/relationships/webSettings" Target="webSettings.xml" /><Relationship Id="rId6" Type="http://schemas.openxmlformats.org/officeDocument/2006/relationships/settings" Target="settings.xml" /><Relationship Id="rId5" Type="http://schemas.openxmlformats.org/officeDocument/2006/relationships/styles" Target="styles.xml" /><Relationship Id="rId4" Type="http://schemas.openxmlformats.org/officeDocument/2006/relationships/numbering" Target="numbering.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1</Pages>
  <Words>549</Words>
  <Characters>3135</Characters>
  <DocSecurity>0</DocSecurity>
  <Lines>26</Lines>
  <Paragraphs>7</Paragraphs>
  <ScaleCrop>false</ScaleCrop>
  <HeadingPairs>
    <vt:vector size="2" baseType="variant">
      <vt:variant>
        <vt:lpstr>Название</vt:lpstr>
      </vt:variant>
      <vt:variant>
        <vt:i4>1</vt:i4>
      </vt:variant>
    </vt:vector>
  </HeadingPairs>
  <LinksUpToDate>false</LinksUpToDate>
  <CharactersWithSpaces>3677</CharactersWithSpaces>
  <SharedDoc>false</SharedDoc>
  <HyperlinksChanged>false</HyperlinksChanged>
</Properties>
</file>